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60"/>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March 25, 2025</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333-233607</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333-236417</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333-246322</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333-246326</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333-264236</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333-269385</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333-271074</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333-272649</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333-274520</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333-274756</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333-276465</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333-278467</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333-278968</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333-280535</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333-282679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73025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116205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2"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115570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4"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333-233607</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333-236417</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333-246322</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333-246326</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333-264236</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333-269385</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333-271074</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333-272649</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S-1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333-274520</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S-1MEF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333-274756</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333-276465</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333-278467</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333-278968</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333-280535</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333-282679</w:t>
      </w:r>
    </w:p>
    <w:p>
      <w:pPr>
        <w:sectPr>
          <w:pgSz w:w="11900" w:h="16838" w:orient="portrait"/>
          <w:cols w:equalWidth="0" w:num="1">
            <w:col w:w="10020"/>
          </w:cols>
          <w:pgMar w:left="1440" w:top="232" w:right="4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115570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Vaccinex, Inc.</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128905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3" w:lineRule="exact"/>
        <w:rPr>
          <w:sz w:val="20"/>
          <w:szCs w:val="20"/>
          <w:color w:val="auto"/>
        </w:rPr>
      </w:pPr>
    </w:p>
    <w:tbl>
      <w:tblPr>
        <w:tblLayout w:type="fixed"/>
        <w:tblInd w:w="1540" w:type="dxa"/>
        <w:tblCellMar>
          <w:top w:w="0" w:type="dxa"/>
          <w:left w:w="0" w:type="dxa"/>
          <w:bottom w:w="0" w:type="dxa"/>
          <w:right w:w="0" w:type="dxa"/>
        </w:tblCellMar>
      </w:tblPr>
      <w:tr>
        <w:trPr>
          <w:trHeight w:val="194"/>
        </w:trPr>
        <w:tc>
          <w:tcPr>
            <w:tcW w:w="260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4760" w:type="dxa"/>
            <w:vAlign w:val="bottom"/>
            <w:gridSpan w:val="3"/>
          </w:tcPr>
          <w:p>
            <w:pPr>
              <w:jc w:val="right"/>
              <w:ind w:right="88"/>
              <w:spacing w:after="0"/>
              <w:rPr>
                <w:sz w:val="20"/>
                <w:szCs w:val="20"/>
                <w:color w:val="auto"/>
              </w:rPr>
            </w:pPr>
            <w:r>
              <w:rPr>
                <w:rFonts w:ascii="Times New Roman" w:cs="Times New Roman" w:eastAsia="Times New Roman" w:hAnsi="Times New Roman"/>
                <w:sz w:val="16"/>
                <w:szCs w:val="16"/>
                <w:b w:val="1"/>
                <w:bCs w:val="1"/>
                <w:color w:val="auto"/>
              </w:rPr>
              <w:t>16-1603202</w:t>
            </w:r>
          </w:p>
        </w:tc>
      </w:tr>
      <w:tr>
        <w:trPr>
          <w:trHeight w:val="148"/>
        </w:trPr>
        <w:tc>
          <w:tcPr>
            <w:tcW w:w="260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240" w:type="dxa"/>
            <w:vAlign w:val="bottom"/>
          </w:tcPr>
          <w:p>
            <w:pPr>
              <w:jc w:val="center"/>
              <w:ind w:left="104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60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240" w:type="dxa"/>
            <w:vAlign w:val="bottom"/>
          </w:tcPr>
          <w:p>
            <w:pPr>
              <w:jc w:val="center"/>
              <w:ind w:left="104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51"/>
        </w:trPr>
        <w:tc>
          <w:tcPr>
            <w:tcW w:w="260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rPr>
              <w:t>1895 Mount Hope Avenue</w:t>
            </w:r>
          </w:p>
        </w:tc>
        <w:tc>
          <w:tcPr>
            <w:tcW w:w="2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207"/>
        </w:trPr>
        <w:tc>
          <w:tcPr>
            <w:tcW w:w="260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8"/>
              </w:rPr>
              <w:t>Rochester, New York</w:t>
            </w:r>
          </w:p>
        </w:tc>
        <w:tc>
          <w:tcPr>
            <w:tcW w:w="4760" w:type="dxa"/>
            <w:vAlign w:val="bottom"/>
            <w:gridSpan w:val="3"/>
          </w:tcPr>
          <w:p>
            <w:pPr>
              <w:jc w:val="right"/>
              <w:ind w:right="288"/>
              <w:spacing w:after="0"/>
              <w:rPr>
                <w:sz w:val="20"/>
                <w:szCs w:val="20"/>
                <w:color w:val="auto"/>
              </w:rPr>
            </w:pPr>
            <w:r>
              <w:rPr>
                <w:rFonts w:ascii="Times New Roman" w:cs="Times New Roman" w:eastAsia="Times New Roman" w:hAnsi="Times New Roman"/>
                <w:sz w:val="16"/>
                <w:szCs w:val="16"/>
                <w:b w:val="1"/>
                <w:bCs w:val="1"/>
                <w:color w:val="auto"/>
              </w:rPr>
              <w:t>14620</w:t>
            </w:r>
          </w:p>
        </w:tc>
      </w:tr>
      <w:tr>
        <w:trPr>
          <w:trHeight w:val="190"/>
        </w:trPr>
        <w:tc>
          <w:tcPr>
            <w:tcW w:w="260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240" w:type="dxa"/>
            <w:vAlign w:val="bottom"/>
          </w:tcPr>
          <w:p>
            <w:pPr>
              <w:jc w:val="center"/>
              <w:ind w:left="1048"/>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172"/>
        </w:trPr>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2240" w:type="dxa"/>
            <w:vAlign w:val="bottom"/>
          </w:tcPr>
          <w:p>
            <w:pPr>
              <w:spacing w:after="0"/>
              <w:rPr>
                <w:sz w:val="14"/>
                <w:szCs w:val="14"/>
                <w:color w:val="auto"/>
              </w:rPr>
            </w:pPr>
          </w:p>
        </w:tc>
      </w:tr>
      <w:tr>
        <w:trPr>
          <w:trHeight w:val="248"/>
        </w:trPr>
        <w:tc>
          <w:tcPr>
            <w:tcW w:w="2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560" w:type="dxa"/>
            <w:vAlign w:val="bottom"/>
            <w:gridSpan w:val="2"/>
          </w:tcPr>
          <w:p>
            <w:pPr>
              <w:jc w:val="center"/>
              <w:ind w:right="2168"/>
              <w:spacing w:after="0"/>
              <w:rPr>
                <w:sz w:val="20"/>
                <w:szCs w:val="20"/>
                <w:color w:val="auto"/>
              </w:rPr>
            </w:pPr>
            <w:r>
              <w:rPr>
                <w:rFonts w:ascii="Times New Roman" w:cs="Times New Roman" w:eastAsia="Times New Roman" w:hAnsi="Times New Roman"/>
                <w:sz w:val="16"/>
                <w:szCs w:val="16"/>
                <w:b w:val="1"/>
                <w:bCs w:val="1"/>
                <w:color w:val="auto"/>
              </w:rPr>
              <w:t>Maurice Zauderer</w:t>
            </w:r>
          </w:p>
        </w:tc>
      </w:tr>
      <w:tr>
        <w:trPr>
          <w:trHeight w:val="203"/>
        </w:trPr>
        <w:tc>
          <w:tcPr>
            <w:tcW w:w="2600" w:type="dxa"/>
            <w:vAlign w:val="bottom"/>
          </w:tcPr>
          <w:p>
            <w:pPr>
              <w:spacing w:after="0"/>
              <w:rPr>
                <w:sz w:val="17"/>
                <w:szCs w:val="17"/>
                <w:color w:val="auto"/>
              </w:rPr>
            </w:pPr>
          </w:p>
        </w:tc>
        <w:tc>
          <w:tcPr>
            <w:tcW w:w="4760" w:type="dxa"/>
            <w:vAlign w:val="bottom"/>
            <w:gridSpan w:val="3"/>
          </w:tcPr>
          <w:p>
            <w:pPr>
              <w:jc w:val="center"/>
              <w:ind w:right="1948"/>
              <w:spacing w:after="0"/>
              <w:rPr>
                <w:sz w:val="20"/>
                <w:szCs w:val="20"/>
                <w:color w:val="auto"/>
              </w:rPr>
            </w:pPr>
            <w:r>
              <w:rPr>
                <w:rFonts w:ascii="Times New Roman" w:cs="Times New Roman" w:eastAsia="Times New Roman" w:hAnsi="Times New Roman"/>
                <w:sz w:val="16"/>
                <w:szCs w:val="16"/>
                <w:b w:val="1"/>
                <w:bCs w:val="1"/>
                <w:color w:val="auto"/>
              </w:rPr>
              <w:t>President &amp; Chief Executive Officer</w:t>
            </w:r>
          </w:p>
        </w:tc>
      </w:tr>
      <w:tr>
        <w:trPr>
          <w:trHeight w:val="203"/>
        </w:trPr>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60" w:type="dxa"/>
            <w:vAlign w:val="bottom"/>
            <w:gridSpan w:val="2"/>
          </w:tcPr>
          <w:p>
            <w:pPr>
              <w:jc w:val="center"/>
              <w:ind w:right="2168"/>
              <w:spacing w:after="0"/>
              <w:rPr>
                <w:sz w:val="20"/>
                <w:szCs w:val="20"/>
                <w:color w:val="auto"/>
              </w:rPr>
            </w:pPr>
            <w:r>
              <w:rPr>
                <w:rFonts w:ascii="Times New Roman" w:cs="Times New Roman" w:eastAsia="Times New Roman" w:hAnsi="Times New Roman"/>
                <w:sz w:val="16"/>
                <w:szCs w:val="16"/>
                <w:b w:val="1"/>
                <w:bCs w:val="1"/>
                <w:color w:val="auto"/>
                <w:w w:val="99"/>
              </w:rPr>
              <w:t>Vaccinex, Inc.</w:t>
            </w:r>
          </w:p>
        </w:tc>
      </w:tr>
      <w:tr>
        <w:trPr>
          <w:trHeight w:val="203"/>
        </w:trPr>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60" w:type="dxa"/>
            <w:vAlign w:val="bottom"/>
            <w:gridSpan w:val="2"/>
          </w:tcPr>
          <w:p>
            <w:pPr>
              <w:jc w:val="center"/>
              <w:ind w:right="2168"/>
              <w:spacing w:after="0"/>
              <w:rPr>
                <w:sz w:val="20"/>
                <w:szCs w:val="20"/>
                <w:color w:val="auto"/>
              </w:rPr>
            </w:pPr>
            <w:r>
              <w:rPr>
                <w:rFonts w:ascii="Times New Roman" w:cs="Times New Roman" w:eastAsia="Times New Roman" w:hAnsi="Times New Roman"/>
                <w:sz w:val="16"/>
                <w:szCs w:val="16"/>
                <w:b w:val="1"/>
                <w:bCs w:val="1"/>
                <w:color w:val="auto"/>
              </w:rPr>
              <w:t>1895 Mount Hope Avenue</w:t>
            </w:r>
          </w:p>
        </w:tc>
      </w:tr>
      <w:tr>
        <w:trPr>
          <w:trHeight w:val="194"/>
        </w:trPr>
        <w:tc>
          <w:tcPr>
            <w:tcW w:w="2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560" w:type="dxa"/>
            <w:vAlign w:val="bottom"/>
            <w:gridSpan w:val="2"/>
          </w:tcPr>
          <w:p>
            <w:pPr>
              <w:jc w:val="center"/>
              <w:ind w:right="2148"/>
              <w:spacing w:after="0"/>
              <w:rPr>
                <w:sz w:val="20"/>
                <w:szCs w:val="20"/>
                <w:color w:val="auto"/>
              </w:rPr>
            </w:pPr>
            <w:r>
              <w:rPr>
                <w:rFonts w:ascii="Times New Roman" w:cs="Times New Roman" w:eastAsia="Times New Roman" w:hAnsi="Times New Roman"/>
                <w:sz w:val="16"/>
                <w:szCs w:val="16"/>
                <w:b w:val="1"/>
                <w:bCs w:val="1"/>
                <w:color w:val="auto"/>
                <w:w w:val="99"/>
              </w:rPr>
              <w:t>Rochester, New York 14620</w:t>
            </w:r>
          </w:p>
        </w:tc>
      </w:tr>
      <w:tr>
        <w:trPr>
          <w:trHeight w:val="190"/>
        </w:trPr>
        <w:tc>
          <w:tcPr>
            <w:tcW w:w="2600" w:type="dxa"/>
            <w:vAlign w:val="bottom"/>
          </w:tcPr>
          <w:p>
            <w:pPr>
              <w:spacing w:after="0"/>
              <w:rPr>
                <w:sz w:val="16"/>
                <w:szCs w:val="16"/>
                <w:color w:val="auto"/>
              </w:rPr>
            </w:pPr>
          </w:p>
        </w:tc>
        <w:tc>
          <w:tcPr>
            <w:tcW w:w="4760" w:type="dxa"/>
            <w:vAlign w:val="bottom"/>
            <w:gridSpan w:val="3"/>
          </w:tcPr>
          <w:p>
            <w:pPr>
              <w:jc w:val="center"/>
              <w:ind w:right="1968"/>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tc>
      </w:tr>
    </w:tbl>
    <w:p>
      <w:pPr>
        <w:spacing w:after="0" w:line="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(585) 271-2700</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116205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William I. Intner</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J. Nicholas Hoover</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Hogan Lovells US LLP</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1001 International Drive, Suite 2000</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Baltimore, Maryland 21202</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(410) 659-2700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144145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Not applicable.</w:t>
      </w:r>
    </w:p>
    <w:p>
      <w:pPr>
        <w:spacing w:after="0" w:line="52"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36" w:lineRule="exact"/>
        <w:rPr>
          <w:sz w:val="20"/>
          <w:szCs w:val="20"/>
          <w:color w:val="auto"/>
        </w:rPr>
      </w:pPr>
    </w:p>
    <w:p>
      <w:pPr>
        <w:ind w:right="60"/>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34"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4" w:lineRule="exact"/>
        <w:rPr>
          <w:sz w:val="20"/>
          <w:szCs w:val="20"/>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48" w:lineRule="exact"/>
        <w:rPr>
          <w:sz w:val="20"/>
          <w:szCs w:val="20"/>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34" w:lineRule="exact"/>
        <w:rPr>
          <w:sz w:val="20"/>
          <w:szCs w:val="20"/>
          <w:color w:val="auto"/>
        </w:rPr>
      </w:pPr>
    </w:p>
    <w:p>
      <w:pPr>
        <w:ind w:right="8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3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78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516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Emerging growth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0"/>
          <w:szCs w:val="20"/>
          <w:color w:val="auto"/>
        </w:rPr>
      </w:pPr>
    </w:p>
    <w:p>
      <w:pPr>
        <w:ind w:right="340"/>
        <w:spacing w:after="0" w:line="298"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35560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78740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80"/>
          </w:cols>
          <w:pgMar w:left="440" w:top="255" w:right="47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NOTE/DEREGISTRATION OF SECURITIES</w:t>
      </w:r>
    </w:p>
    <w:p>
      <w:pPr>
        <w:spacing w:after="0" w:line="229"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These Post-Effective Amendments relate to the following Registration Statements (the “Registration Statements”), filed with the Securities Exchange Commission (the “SEC”) by Vaccinex, Inc., (the “Registrant”):</w:t>
      </w:r>
    </w:p>
    <w:p>
      <w:pPr>
        <w:spacing w:after="0" w:line="67" w:lineRule="exact"/>
        <w:rPr>
          <w:sz w:val="20"/>
          <w:szCs w:val="20"/>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19">
        <w:r>
          <w:rPr>
            <w:rFonts w:ascii="Times New Roman" w:cs="Times New Roman" w:eastAsia="Times New Roman" w:hAnsi="Times New Roman"/>
            <w:sz w:val="18"/>
            <w:szCs w:val="18"/>
            <w:u w:val="single" w:color="auto"/>
            <w:color w:val="0000EE"/>
          </w:rPr>
          <w:t>333-233607</w:t>
        </w:r>
      </w:hyperlink>
      <w:r>
        <w:rPr>
          <w:rFonts w:ascii="Times New Roman" w:cs="Times New Roman" w:eastAsia="Times New Roman" w:hAnsi="Times New Roman"/>
          <w:sz w:val="18"/>
          <w:szCs w:val="18"/>
          <w:color w:val="auto"/>
        </w:rPr>
        <w:t>), filed with the SEC on September 3, 2019, as amended.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0">
        <w:r>
          <w:rPr>
            <w:rFonts w:ascii="Times New Roman" w:cs="Times New Roman" w:eastAsia="Times New Roman" w:hAnsi="Times New Roman"/>
            <w:sz w:val="18"/>
            <w:szCs w:val="18"/>
            <w:u w:val="single" w:color="auto"/>
            <w:color w:val="0000EE"/>
          </w:rPr>
          <w:t>333-236417</w:t>
        </w:r>
      </w:hyperlink>
      <w:r>
        <w:rPr>
          <w:rFonts w:ascii="Times New Roman" w:cs="Times New Roman" w:eastAsia="Times New Roman" w:hAnsi="Times New Roman"/>
          <w:sz w:val="18"/>
          <w:szCs w:val="18"/>
          <w:color w:val="auto"/>
        </w:rPr>
        <w:t>), filed with the SEC on February 13, 2020.</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1">
        <w:r>
          <w:rPr>
            <w:rFonts w:ascii="Times New Roman" w:cs="Times New Roman" w:eastAsia="Times New Roman" w:hAnsi="Times New Roman"/>
            <w:sz w:val="18"/>
            <w:szCs w:val="18"/>
            <w:u w:val="single" w:color="auto"/>
            <w:color w:val="0000EE"/>
          </w:rPr>
          <w:t>333-246322</w:t>
        </w:r>
      </w:hyperlink>
      <w:r>
        <w:rPr>
          <w:rFonts w:ascii="Times New Roman" w:cs="Times New Roman" w:eastAsia="Times New Roman" w:hAnsi="Times New Roman"/>
          <w:sz w:val="18"/>
          <w:szCs w:val="18"/>
          <w:color w:val="auto"/>
        </w:rPr>
        <w:t>), filed with the SEC on August 14, 2020.</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2">
        <w:r>
          <w:rPr>
            <w:rFonts w:ascii="Times New Roman" w:cs="Times New Roman" w:eastAsia="Times New Roman" w:hAnsi="Times New Roman"/>
            <w:sz w:val="18"/>
            <w:szCs w:val="18"/>
            <w:u w:val="single" w:color="auto"/>
            <w:color w:val="0000EE"/>
          </w:rPr>
          <w:t>333-246326</w:t>
        </w:r>
      </w:hyperlink>
      <w:r>
        <w:rPr>
          <w:rFonts w:ascii="Times New Roman" w:cs="Times New Roman" w:eastAsia="Times New Roman" w:hAnsi="Times New Roman"/>
          <w:sz w:val="18"/>
          <w:szCs w:val="18"/>
          <w:color w:val="auto"/>
        </w:rPr>
        <w:t>), filed with the SEC on August 14, 2020, as amended.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3">
        <w:r>
          <w:rPr>
            <w:rFonts w:ascii="Times New Roman" w:cs="Times New Roman" w:eastAsia="Times New Roman" w:hAnsi="Times New Roman"/>
            <w:sz w:val="18"/>
            <w:szCs w:val="18"/>
            <w:u w:val="single" w:color="auto"/>
            <w:color w:val="0000EE"/>
          </w:rPr>
          <w:t>333-264236</w:t>
        </w:r>
      </w:hyperlink>
      <w:r>
        <w:rPr>
          <w:rFonts w:ascii="Times New Roman" w:cs="Times New Roman" w:eastAsia="Times New Roman" w:hAnsi="Times New Roman"/>
          <w:sz w:val="18"/>
          <w:szCs w:val="18"/>
          <w:color w:val="auto"/>
        </w:rPr>
        <w:t>), filed with the SEC on April 11, 2022.</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4">
        <w:r>
          <w:rPr>
            <w:rFonts w:ascii="Times New Roman" w:cs="Times New Roman" w:eastAsia="Times New Roman" w:hAnsi="Times New Roman"/>
            <w:sz w:val="18"/>
            <w:szCs w:val="18"/>
            <w:u w:val="single" w:color="auto"/>
            <w:color w:val="0000EE"/>
          </w:rPr>
          <w:t>333-269385</w:t>
        </w:r>
      </w:hyperlink>
      <w:r>
        <w:rPr>
          <w:rFonts w:ascii="Times New Roman" w:cs="Times New Roman" w:eastAsia="Times New Roman" w:hAnsi="Times New Roman"/>
          <w:sz w:val="18"/>
          <w:szCs w:val="18"/>
          <w:color w:val="auto"/>
        </w:rPr>
        <w:t>), filed with the SEC on January 24, 2023.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5">
        <w:r>
          <w:rPr>
            <w:rFonts w:ascii="Times New Roman" w:cs="Times New Roman" w:eastAsia="Times New Roman" w:hAnsi="Times New Roman"/>
            <w:sz w:val="18"/>
            <w:szCs w:val="18"/>
            <w:u w:val="single" w:color="auto"/>
            <w:color w:val="0000EE"/>
          </w:rPr>
          <w:t>333-271074</w:t>
        </w:r>
      </w:hyperlink>
      <w:r>
        <w:rPr>
          <w:rFonts w:ascii="Times New Roman" w:cs="Times New Roman" w:eastAsia="Times New Roman" w:hAnsi="Times New Roman"/>
          <w:sz w:val="18"/>
          <w:szCs w:val="18"/>
          <w:color w:val="auto"/>
        </w:rPr>
        <w:t>), filed with the SEC on April 3, 2023.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6">
        <w:r>
          <w:rPr>
            <w:rFonts w:ascii="Times New Roman" w:cs="Times New Roman" w:eastAsia="Times New Roman" w:hAnsi="Times New Roman"/>
            <w:sz w:val="18"/>
            <w:szCs w:val="18"/>
            <w:u w:val="single" w:color="auto"/>
            <w:color w:val="0000EE"/>
          </w:rPr>
          <w:t>333-272649</w:t>
        </w:r>
      </w:hyperlink>
      <w:r>
        <w:rPr>
          <w:rFonts w:ascii="Times New Roman" w:cs="Times New Roman" w:eastAsia="Times New Roman" w:hAnsi="Times New Roman"/>
          <w:sz w:val="18"/>
          <w:szCs w:val="18"/>
          <w:color w:val="auto"/>
        </w:rPr>
        <w:t>), filed with the SEC on June 14, 2023.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S-1 (File No. </w:t>
      </w:r>
      <w:hyperlink r:id="rId27">
        <w:r>
          <w:rPr>
            <w:rFonts w:ascii="Times New Roman" w:cs="Times New Roman" w:eastAsia="Times New Roman" w:hAnsi="Times New Roman"/>
            <w:sz w:val="18"/>
            <w:szCs w:val="18"/>
            <w:u w:val="single" w:color="auto"/>
            <w:color w:val="0000EE"/>
          </w:rPr>
          <w:t>333-274520</w:t>
        </w:r>
      </w:hyperlink>
      <w:r>
        <w:rPr>
          <w:rFonts w:ascii="Times New Roman" w:cs="Times New Roman" w:eastAsia="Times New Roman" w:hAnsi="Times New Roman"/>
          <w:sz w:val="18"/>
          <w:szCs w:val="18"/>
          <w:color w:val="auto"/>
        </w:rPr>
        <w:t>), filed with the SEC on September 14, 2023, as amended.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S-1MEF (File No. </w:t>
      </w:r>
      <w:hyperlink r:id="rId28">
        <w:r>
          <w:rPr>
            <w:rFonts w:ascii="Times New Roman" w:cs="Times New Roman" w:eastAsia="Times New Roman" w:hAnsi="Times New Roman"/>
            <w:sz w:val="18"/>
            <w:szCs w:val="18"/>
            <w:u w:val="single" w:color="auto"/>
            <w:color w:val="0000EE"/>
          </w:rPr>
          <w:t>333-274756</w:t>
        </w:r>
      </w:hyperlink>
      <w:r>
        <w:rPr>
          <w:rFonts w:ascii="Times New Roman" w:cs="Times New Roman" w:eastAsia="Times New Roman" w:hAnsi="Times New Roman"/>
          <w:sz w:val="18"/>
          <w:szCs w:val="18"/>
          <w:color w:val="auto"/>
        </w:rPr>
        <w:t>), filed with the SEC on September 28, 2023.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9">
        <w:r>
          <w:rPr>
            <w:rFonts w:ascii="Times New Roman" w:cs="Times New Roman" w:eastAsia="Times New Roman" w:hAnsi="Times New Roman"/>
            <w:sz w:val="18"/>
            <w:szCs w:val="18"/>
            <w:u w:val="single" w:color="auto"/>
            <w:color w:val="0000EE"/>
          </w:rPr>
          <w:t>333-276465</w:t>
        </w:r>
      </w:hyperlink>
      <w:r>
        <w:rPr>
          <w:rFonts w:ascii="Times New Roman" w:cs="Times New Roman" w:eastAsia="Times New Roman" w:hAnsi="Times New Roman"/>
          <w:sz w:val="18"/>
          <w:szCs w:val="18"/>
          <w:color w:val="auto"/>
        </w:rPr>
        <w:t>), filed with the SEC on January 10, 2024.</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30">
        <w:r>
          <w:rPr>
            <w:rFonts w:ascii="Times New Roman" w:cs="Times New Roman" w:eastAsia="Times New Roman" w:hAnsi="Times New Roman"/>
            <w:sz w:val="18"/>
            <w:szCs w:val="18"/>
            <w:u w:val="single" w:color="auto"/>
            <w:color w:val="0000EE"/>
          </w:rPr>
          <w:t>333-278467</w:t>
        </w:r>
      </w:hyperlink>
      <w:r>
        <w:rPr>
          <w:rFonts w:ascii="Times New Roman" w:cs="Times New Roman" w:eastAsia="Times New Roman" w:hAnsi="Times New Roman"/>
          <w:sz w:val="18"/>
          <w:szCs w:val="18"/>
          <w:color w:val="auto"/>
        </w:rPr>
        <w:t>), filed with the SEC on April 2, 2024.</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31">
        <w:r>
          <w:rPr>
            <w:rFonts w:ascii="Times New Roman" w:cs="Times New Roman" w:eastAsia="Times New Roman" w:hAnsi="Times New Roman"/>
            <w:sz w:val="18"/>
            <w:szCs w:val="18"/>
            <w:u w:val="single" w:color="auto"/>
            <w:color w:val="0000EE"/>
          </w:rPr>
          <w:t>333-278968</w:t>
        </w:r>
      </w:hyperlink>
      <w:r>
        <w:rPr>
          <w:rFonts w:ascii="Times New Roman" w:cs="Times New Roman" w:eastAsia="Times New Roman" w:hAnsi="Times New Roman"/>
          <w:sz w:val="18"/>
          <w:szCs w:val="18"/>
          <w:color w:val="auto"/>
        </w:rPr>
        <w:t>), filed with the SEC on April 26, 2024, as amended.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32">
        <w:r>
          <w:rPr>
            <w:rFonts w:ascii="Times New Roman" w:cs="Times New Roman" w:eastAsia="Times New Roman" w:hAnsi="Times New Roman"/>
            <w:sz w:val="18"/>
            <w:szCs w:val="18"/>
            <w:u w:val="single" w:color="auto"/>
            <w:color w:val="0000EE"/>
          </w:rPr>
          <w:t>333-280535</w:t>
        </w:r>
      </w:hyperlink>
      <w:r>
        <w:rPr>
          <w:rFonts w:ascii="Times New Roman" w:cs="Times New Roman" w:eastAsia="Times New Roman" w:hAnsi="Times New Roman"/>
          <w:sz w:val="18"/>
          <w:szCs w:val="18"/>
          <w:color w:val="auto"/>
        </w:rPr>
        <w:t>), filed with the SEC on June 27, 2024.</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33">
        <w:r>
          <w:rPr>
            <w:rFonts w:ascii="Times New Roman" w:cs="Times New Roman" w:eastAsia="Times New Roman" w:hAnsi="Times New Roman"/>
            <w:sz w:val="18"/>
            <w:szCs w:val="18"/>
            <w:u w:val="single" w:color="auto"/>
            <w:color w:val="0000EE"/>
          </w:rPr>
          <w:t>333-282679</w:t>
        </w:r>
      </w:hyperlink>
      <w:r>
        <w:rPr>
          <w:rFonts w:ascii="Times New Roman" w:cs="Times New Roman" w:eastAsia="Times New Roman" w:hAnsi="Times New Roman"/>
          <w:sz w:val="18"/>
          <w:szCs w:val="18"/>
          <w:color w:val="auto"/>
        </w:rPr>
        <w:t>), filed with the SEC on October 16, 2024.</w:t>
      </w:r>
    </w:p>
    <w:p>
      <w:pPr>
        <w:spacing w:after="0" w:line="225" w:lineRule="exact"/>
        <w:rPr>
          <w:rFonts w:ascii="Times New Roman" w:cs="Times New Roman" w:eastAsia="Times New Roman" w:hAnsi="Times New Roman"/>
          <w:sz w:val="18"/>
          <w:szCs w:val="18"/>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Registrant is filing these Post-Effective Amendments to deregister any and all securities that remain unsold under the Registration Statements as of the date hereof. In accordance with the undertakings made by the Registrant in the Registration Statements to remove from registration by means of a post-effective amendment any securities that had been registered for issuance but remain unsold at the termination of the offering, the Registrant hereby removes and withdraws from registration any and all securities registered pursuant to the Registration Statements that remain unsold as of the date hereof.</w:t>
      </w:r>
    </w:p>
    <w:p>
      <w:pPr>
        <w:sectPr>
          <w:pgSz w:w="11900" w:h="16838" w:orient="portrait"/>
          <w:cols w:equalWidth="0" w:num="1">
            <w:col w:w="10960"/>
          </w:cols>
          <w:pgMar w:left="440" w:top="266" w:right="49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these Post-Effective Amendments to be signed on its behalf by the undersigned, thereunto duly authorized, in the City of Rochester, State of New York, on March 25, 2025.</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Vaccinex,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Maurice Zauderer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Maurice Zauderer</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person is required to sign these Post-Effective Amendments in reliance upon Rule 478 under the Securities Act of 1933.</w:t>
      </w:r>
    </w:p>
    <w:sectPr>
      <w:pgSz w:w="11900" w:h="16838" w:orient="portrait"/>
      <w:cols w:equalWidth="0" w:num="1">
        <w:col w:w="10960"/>
      </w:cols>
      <w:pgMar w:left="440" w:top="26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34" Type="http://schemas.openxmlformats.org/officeDocument/2006/relationships/image" Target="media/image12.png"/><Relationship Id="rId35" Type="http://schemas.openxmlformats.org/officeDocument/2006/relationships/image" Target="media/image13.png"/><Relationship Id="rId19" Type="http://schemas.openxmlformats.org/officeDocument/2006/relationships/hyperlink" Target="http://www.sec.gov/Archives/edgar/data/1205922/000119312519236677/d777558ds3.htm" TargetMode="External"/><Relationship Id="rId20" Type="http://schemas.openxmlformats.org/officeDocument/2006/relationships/hyperlink" Target="http://www.sec.gov/Archives/edgar/data/1205922/000119312520035658/d868510ds3.htm" TargetMode="External"/><Relationship Id="rId21" Type="http://schemas.openxmlformats.org/officeDocument/2006/relationships/hyperlink" Target="http://www.sec.gov/Archives/edgar/data/1205922/000119312520220385/d14522ds3.htm" TargetMode="External"/><Relationship Id="rId22" Type="http://schemas.openxmlformats.org/officeDocument/2006/relationships/hyperlink" Target="http://www.sec.gov/Archives/edgar/data/1205922/000119312520220395/d35321ds3.htm" TargetMode="External"/><Relationship Id="rId23" Type="http://schemas.openxmlformats.org/officeDocument/2006/relationships/hyperlink" Target="http://www.sec.gov/Archives/edgar/data/1205922/000119312522101736/d313648ds3.htm" TargetMode="External"/><Relationship Id="rId24" Type="http://schemas.openxmlformats.org/officeDocument/2006/relationships/hyperlink" Target="http://www.sec.gov/Archives/edgar/data/1205922/000119312523014055/d448808ds3.htm" TargetMode="External"/><Relationship Id="rId25" Type="http://schemas.openxmlformats.org/officeDocument/2006/relationships/hyperlink" Target="http://www.sec.gov/Archives/edgar/data/1205922/000119312523089051/d453579ds3.htm" TargetMode="External"/><Relationship Id="rId26" Type="http://schemas.openxmlformats.org/officeDocument/2006/relationships/hyperlink" Target="http://www.sec.gov/Archives/edgar/data/1205922/000119312523166936/d497735ds3.htm" TargetMode="External"/><Relationship Id="rId27" Type="http://schemas.openxmlformats.org/officeDocument/2006/relationships/hyperlink" Target="http://www.sec.gov/Archives/edgar/data/1205922/000119312523235408/d348798ds1.htm" TargetMode="External"/><Relationship Id="rId28" Type="http://schemas.openxmlformats.org/officeDocument/2006/relationships/hyperlink" Target="http://www.sec.gov/Archives/edgar/data/1205922/000119312523246045/d585102ds1mef.htm" TargetMode="External"/><Relationship Id="rId29" Type="http://schemas.openxmlformats.org/officeDocument/2006/relationships/hyperlink" Target="http://www.sec.gov/Archives/edgar/data/1205922/000119312524006026/d932271ds3.htm" TargetMode="External"/><Relationship Id="rId30" Type="http://schemas.openxmlformats.org/officeDocument/2006/relationships/hyperlink" Target="http://www.sec.gov/Archives/edgar/data/1205922/000119312524084759/d766826ds3.htm" TargetMode="External"/><Relationship Id="rId31" Type="http://schemas.openxmlformats.org/officeDocument/2006/relationships/hyperlink" Target="http://www.sec.gov/Archives/edgar/data/1205922/000119312524118410/d822488ds3.htm" TargetMode="External"/><Relationship Id="rId32" Type="http://schemas.openxmlformats.org/officeDocument/2006/relationships/hyperlink" Target="http://www.sec.gov/Archives/edgar/data/1205922/000119312524170651/d855963ds3.htm" TargetMode="External"/><Relationship Id="rId33" Type="http://schemas.openxmlformats.org/officeDocument/2006/relationships/hyperlink" Target="http://www.sec.gov/Archives/edgar/data/1205922/000119312524238151/d897020ds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2025-03-25T07:55:36Z</dcterms:created>
  <dcterms:modified xsi:type="dcterms:W3CDTF">2025-03-25T07:55:36Z</dcterms:modified>
</cp:coreProperties>
</file>