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SEC File Number: 001-38624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-127635</wp:posOffset>
            </wp:positionV>
            <wp:extent cx="1757680" cy="30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680" cy="300355"/>
                    </a:xfrm>
                    <a:prstGeom prst="rect">
                      <a:avLst/>
                    </a:prstGeom>
                    <a:noFill/>
                  </pic:spPr>
                </pic:pic>
              </a:graphicData>
            </a:graphic>
          </wp:anchor>
        </w:drawing>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Number: 918640301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228600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15" w:lineRule="exact"/>
        <w:rPr>
          <w:sz w:val="24"/>
          <w:szCs w:val="24"/>
          <w:color w:val="auto"/>
        </w:rPr>
      </w:pPr>
    </w:p>
    <w:p>
      <w:pPr>
        <w:ind w:left="3300" w:right="2900" w:hanging="1221"/>
        <w:spacing w:after="0" w:line="259" w:lineRule="exact"/>
        <w:tabs>
          <w:tab w:leader="none" w:pos="3280" w:val="left"/>
        </w:tabs>
        <w:rPr>
          <w:sz w:val="20"/>
          <w:szCs w:val="20"/>
          <w:color w:val="auto"/>
        </w:rPr>
      </w:pPr>
      <w:r>
        <w:rPr>
          <w:rFonts w:ascii="Times New Roman" w:cs="Times New Roman" w:eastAsia="Times New Roman" w:hAnsi="Times New Roman"/>
          <w:sz w:val="18"/>
          <w:szCs w:val="18"/>
          <w:color w:val="auto"/>
        </w:rPr>
        <w:t>(Check one):</w:t>
      </w:r>
      <w:r>
        <w:rPr>
          <w:rFonts w:ascii="Times New Roman" w:cs="Times New Roman" w:eastAsia="Times New Roman" w:hAnsi="Times New Roman"/>
          <w:sz w:val="18"/>
          <w:szCs w:val="18"/>
          <w:i w:val="1"/>
          <w:iCs w:val="1"/>
          <w:color w:val="auto"/>
        </w:rPr>
        <w:t xml:space="preserve"> </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 xml:space="preserve">  Form 10-Q</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 xml:space="preserve">  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7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For Period Ended: December 31, 2024</w:t>
      </w:r>
    </w:p>
    <w:p>
      <w:pPr>
        <w:spacing w:after="0" w:line="184"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10-K</w:t>
      </w:r>
    </w:p>
    <w:p>
      <w:pPr>
        <w:spacing w:after="0" w:line="9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20-F</w:t>
      </w:r>
    </w:p>
    <w:p>
      <w:pPr>
        <w:spacing w:after="0" w:line="3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11-K</w:t>
      </w:r>
    </w:p>
    <w:p>
      <w:pPr>
        <w:spacing w:after="0" w:line="3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10-Q</w:t>
      </w:r>
    </w:p>
    <w:p>
      <w:pPr>
        <w:spacing w:after="0" w:line="20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26580"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6580" cy="334645"/>
                    </a:xfrm>
                    <a:prstGeom prst="rect">
                      <a:avLst/>
                    </a:prstGeom>
                    <a:noFill/>
                  </pic:spPr>
                </pic:pic>
              </a:graphicData>
            </a:graphic>
          </wp:anchor>
        </w:drawing>
      </w:r>
    </w:p>
    <w:p>
      <w:pPr>
        <w:spacing w:after="0" w:line="2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Full Name of Registrant</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Former Name if Applicable</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1895 Mount Hope Avenue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 (Street and Number)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Rochester, New York, 14620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89" w:lineRule="exact"/>
        <w:rPr>
          <w:sz w:val="24"/>
          <w:szCs w:val="24"/>
          <w:color w:val="auto"/>
        </w:rPr>
      </w:pPr>
    </w:p>
    <w:p>
      <w:pPr>
        <w:ind w:left="840" w:hanging="318"/>
        <w:spacing w:after="0"/>
        <w:tabs>
          <w:tab w:leader="none" w:pos="84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144" w:lineRule="exact"/>
        <w:rPr>
          <w:rFonts w:ascii="Times New Roman" w:cs="Times New Roman" w:eastAsia="Times New Roman" w:hAnsi="Times New Roman"/>
          <w:sz w:val="18"/>
          <w:szCs w:val="18"/>
          <w:color w:val="auto"/>
        </w:rPr>
      </w:pPr>
    </w:p>
    <w:p>
      <w:pPr>
        <w:ind w:left="840" w:hanging="318"/>
        <w:spacing w:after="0"/>
        <w:tabs>
          <w:tab w:leader="none" w:pos="84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7" w:lineRule="exact"/>
        <w:rPr>
          <w:rFonts w:ascii="Times New Roman" w:cs="Times New Roman" w:eastAsia="Times New Roman" w:hAnsi="Times New Roman"/>
          <w:sz w:val="18"/>
          <w:szCs w:val="18"/>
          <w:color w:val="auto"/>
        </w:rPr>
      </w:pPr>
    </w:p>
    <w:p>
      <w:pPr>
        <w:ind w:left="840" w:hanging="700"/>
        <w:spacing w:after="0" w:line="185" w:lineRule="auto"/>
        <w:tabs>
          <w:tab w:leader="none" w:pos="84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5"/>
          <w:szCs w:val="15"/>
          <w:color w:val="auto"/>
        </w:rPr>
        <w:t>portion thereof, will be filed on or before the fifteenth calendar day following the prescribed due date; or the subject quarterly report or</w:t>
      </w:r>
    </w:p>
    <w:p>
      <w:pPr>
        <w:spacing w:after="0" w:line="1" w:lineRule="exact"/>
        <w:rPr>
          <w:rFonts w:ascii="MS PGothic" w:cs="MS PGothic" w:eastAsia="MS PGothic" w:hAnsi="MS PGothic"/>
          <w:sz w:val="28"/>
          <w:szCs w:val="28"/>
          <w:color w:val="auto"/>
          <w:vertAlign w:val="subscript"/>
        </w:rPr>
      </w:pPr>
    </w:p>
    <w:p>
      <w:pPr>
        <w:ind w:left="400" w:hanging="98"/>
        <w:spacing w:after="0"/>
        <w:tabs>
          <w:tab w:leader="none" w:pos="400" w:val="left"/>
        </w:tabs>
        <w:numPr>
          <w:ilvl w:val="1"/>
          <w:numId w:val="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4"/>
          <w:szCs w:val="24"/>
          <w:color w:val="auto"/>
          <w:vertAlign w:val="superscript"/>
        </w:rPr>
        <w:t xml:space="preserve"> </w:t>
      </w:r>
      <w:r>
        <w:rPr>
          <w:rFonts w:ascii="Times New Roman" w:cs="Times New Roman" w:eastAsia="Times New Roman" w:hAnsi="Times New Roman"/>
          <w:sz w:val="17"/>
          <w:szCs w:val="17"/>
          <w:color w:val="auto"/>
        </w:rPr>
        <w:t>transition report on Form 10-Q or subject distribution report on Form 10-D, or portion thereof, will be filed on or before the fifth calendar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wp:posOffset>
            </wp:positionH>
            <wp:positionV relativeFrom="paragraph">
              <wp:posOffset>-634365</wp:posOffset>
            </wp:positionV>
            <wp:extent cx="8890" cy="9944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994410"/>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8"/>
          <w:szCs w:val="18"/>
          <w:color w:val="auto"/>
        </w:rPr>
        <w:t>day following the prescribed due date; and</w:t>
      </w:r>
    </w:p>
    <w:p>
      <w:pPr>
        <w:spacing w:after="0" w:line="12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(c)  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4"/>
          <w:szCs w:val="24"/>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Vaccinex, Inc. (the “Company”) was unable to file its Annual Report on Form 10-K for the fiscal year ended December 31, 2024 (the “Form 10-K”) within the prescribed time period without unreasonable effort or expense due to delays it has experienced in completing its financial statements for the</w:t>
      </w:r>
    </w:p>
    <w:p>
      <w:pPr>
        <w:sectPr>
          <w:pgSz w:w="11900" w:h="16838" w:orient="portrait"/>
          <w:cols w:equalWidth="0" w:num="1">
            <w:col w:w="10980"/>
          </w:cols>
          <w:pgMar w:left="440" w:top="243" w:right="479" w:bottom="0" w:gutter="0" w:footer="0" w:header="0"/>
        </w:sectPr>
      </w:pPr>
    </w:p>
    <w:bookmarkStart w:id="1" w:name="page2"/>
    <w:bookmarkEnd w:id="1"/>
    <w:p>
      <w:pPr>
        <w:ind w:left="4" w:right="220"/>
        <w:spacing w:after="0" w:line="282" w:lineRule="auto"/>
        <w:rPr>
          <w:sz w:val="20"/>
          <w:szCs w:val="20"/>
          <w:color w:val="auto"/>
        </w:rPr>
      </w:pPr>
      <w:r>
        <w:rPr>
          <w:rFonts w:ascii="Times New Roman" w:cs="Times New Roman" w:eastAsia="Times New Roman" w:hAnsi="Times New Roman"/>
          <w:sz w:val="18"/>
          <w:szCs w:val="18"/>
          <w:color w:val="auto"/>
        </w:rPr>
        <w:t>year ended December 31, 2024. The Company expects to file the Form 10-K as soon as possible, but no later than the fifteenth calendar day extension period provided under Rule 12b-25.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0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tc>
        <w:tc>
          <w:tcPr>
            <w:tcW w:w="3380" w:type="dxa"/>
            <w:vAlign w:val="bottom"/>
          </w:tcPr>
          <w:p>
            <w:pPr>
              <w:spacing w:after="0"/>
              <w:rPr>
                <w:sz w:val="20"/>
                <w:szCs w:val="20"/>
                <w:color w:val="auto"/>
              </w:rPr>
            </w:pPr>
          </w:p>
        </w:tc>
      </w:tr>
      <w:tr>
        <w:trPr>
          <w:trHeight w:val="459"/>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338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302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8"/>
              </w:rPr>
              <w:t>Jill Sanchez</w:t>
            </w:r>
          </w:p>
        </w:tc>
        <w:tc>
          <w:tcPr>
            <w:tcW w:w="1160" w:type="dxa"/>
            <w:vAlign w:val="bottom"/>
          </w:tcPr>
          <w:p>
            <w:pPr>
              <w:spacing w:after="0"/>
              <w:rPr>
                <w:sz w:val="24"/>
                <w:szCs w:val="24"/>
                <w:color w:val="auto"/>
              </w:rPr>
            </w:pPr>
          </w:p>
        </w:tc>
        <w:tc>
          <w:tcPr>
            <w:tcW w:w="28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18"/>
                <w:szCs w:val="18"/>
                <w:b w:val="1"/>
                <w:bCs w:val="1"/>
                <w:color w:val="auto"/>
                <w:w w:val="98"/>
              </w:rPr>
              <w:t>(585)</w:t>
            </w: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4"/>
                <w:szCs w:val="4"/>
                <w:color w:val="auto"/>
                <w:w w:val="98"/>
              </w:rPr>
              <w:t> </w:t>
            </w:r>
          </w:p>
        </w:tc>
        <w:tc>
          <w:tcPr>
            <w:tcW w:w="3380" w:type="dxa"/>
            <w:vAlign w:val="bottom"/>
          </w:tcPr>
          <w:p>
            <w:pPr>
              <w:jc w:val="right"/>
              <w:ind w:right="1679"/>
              <w:spacing w:after="0"/>
              <w:rPr>
                <w:sz w:val="20"/>
                <w:szCs w:val="20"/>
                <w:color w:val="auto"/>
              </w:rPr>
            </w:pPr>
            <w:r>
              <w:rPr>
                <w:rFonts w:ascii="Times New Roman" w:cs="Times New Roman" w:eastAsia="Times New Roman" w:hAnsi="Times New Roman"/>
                <w:sz w:val="18"/>
                <w:szCs w:val="18"/>
                <w:b w:val="1"/>
                <w:bCs w:val="1"/>
                <w:color w:val="auto"/>
              </w:rPr>
              <w:t>271-2700</w:t>
            </w:r>
          </w:p>
        </w:tc>
      </w:tr>
      <w:tr>
        <w:trPr>
          <w:trHeight w:val="184"/>
        </w:trPr>
        <w:tc>
          <w:tcPr>
            <w:tcW w:w="580" w:type="dxa"/>
            <w:vAlign w:val="bottom"/>
          </w:tcPr>
          <w:p>
            <w:pPr>
              <w:spacing w:after="0"/>
              <w:rPr>
                <w:sz w:val="15"/>
                <w:szCs w:val="15"/>
                <w:color w:val="auto"/>
              </w:rPr>
            </w:pPr>
          </w:p>
        </w:tc>
        <w:tc>
          <w:tcPr>
            <w:tcW w:w="3020" w:type="dxa"/>
            <w:vAlign w:val="bottom"/>
            <w:tcBorders>
              <w:top w:val="single" w:sz="8" w:color="auto"/>
            </w:tcBorders>
          </w:tcPr>
          <w:p>
            <w:pPr>
              <w:jc w:val="center"/>
              <w:ind w:left="1199"/>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(Area Code)</w:t>
            </w:r>
          </w:p>
        </w:tc>
        <w:tc>
          <w:tcPr>
            <w:tcW w:w="3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380" w:type="dxa"/>
            <w:vAlign w:val="bottom"/>
            <w:tcBorders>
              <w:top w:val="single" w:sz="8" w:color="auto"/>
            </w:tcBorders>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(Telephone Number)</w:t>
            </w:r>
          </w:p>
        </w:tc>
      </w:tr>
    </w:tbl>
    <w:p>
      <w:pPr>
        <w:spacing w:after="0" w:line="48" w:lineRule="exact"/>
        <w:rPr>
          <w:sz w:val="20"/>
          <w:szCs w:val="20"/>
          <w:color w:val="auto"/>
        </w:rPr>
      </w:pPr>
    </w:p>
    <w:p>
      <w:pPr>
        <w:ind w:left="704" w:right="340" w:hanging="704"/>
        <w:spacing w:after="0" w:line="232" w:lineRule="exact"/>
        <w:tabs>
          <w:tab w:leader="none" w:pos="70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2" w:lineRule="exact"/>
        <w:rPr>
          <w:rFonts w:ascii="Times New Roman" w:cs="Times New Roman" w:eastAsia="Times New Roman" w:hAnsi="Times New Roman"/>
          <w:sz w:val="18"/>
          <w:szCs w:val="18"/>
          <w:color w:val="auto"/>
        </w:rPr>
      </w:pPr>
    </w:p>
    <w:p>
      <w:pPr>
        <w:ind w:left="704" w:hanging="704"/>
        <w:spacing w:after="0"/>
        <w:tabs>
          <w:tab w:leader="none" w:pos="70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w:t>
      </w:r>
    </w:p>
    <w:p>
      <w:pPr>
        <w:spacing w:after="0" w:line="22" w:lineRule="exact"/>
        <w:rPr>
          <w:sz w:val="20"/>
          <w:szCs w:val="20"/>
          <w:color w:val="auto"/>
        </w:rPr>
      </w:pPr>
    </w:p>
    <w:p>
      <w:pPr>
        <w:ind w:left="704"/>
        <w:spacing w:after="0" w:line="207" w:lineRule="exact"/>
        <w:tabs>
          <w:tab w:leader="none" w:pos="6524" w:val="left"/>
        </w:tabs>
        <w:rPr>
          <w:sz w:val="20"/>
          <w:szCs w:val="20"/>
          <w:color w:val="auto"/>
        </w:rPr>
      </w:pPr>
      <w:r>
        <w:rPr>
          <w:rFonts w:ascii="Times New Roman" w:cs="Times New Roman" w:eastAsia="Times New Roman" w:hAnsi="Times New Roman"/>
          <w:sz w:val="18"/>
          <w:szCs w:val="18"/>
          <w:color w:val="auto"/>
        </w:rPr>
        <w:t>the earnings statements to be included in the subject report or portion thereof?  </w:t>
      </w:r>
      <w:r>
        <w:rPr>
          <w:sz w:val="20"/>
          <w:szCs w:val="20"/>
          <w:color w:val="auto"/>
        </w:rPr>
        <w:tab/>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 xml:space="preserve">  No</w:t>
      </w:r>
    </w:p>
    <w:p>
      <w:pPr>
        <w:spacing w:after="0" w:line="104" w:lineRule="exact"/>
        <w:rPr>
          <w:sz w:val="20"/>
          <w:szCs w:val="20"/>
          <w:color w:val="auto"/>
        </w:rPr>
      </w:pPr>
    </w:p>
    <w:p>
      <w:pPr>
        <w:ind w:left="704" w:right="80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(Name of Registrant as Specified in Charter)</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52" w:lineRule="exact"/>
        <w:rPr>
          <w:sz w:val="20"/>
          <w:szCs w:val="20"/>
          <w:color w:val="auto"/>
        </w:rPr>
      </w:pPr>
    </w:p>
    <w:p>
      <w:pPr>
        <w:ind w:left="4"/>
        <w:spacing w:after="0"/>
        <w:tabs>
          <w:tab w:leader="none" w:pos="5844" w:val="left"/>
        </w:tabs>
        <w:rPr>
          <w:sz w:val="20"/>
          <w:szCs w:val="20"/>
          <w:color w:val="auto"/>
        </w:rPr>
      </w:pPr>
      <w:r>
        <w:rPr>
          <w:rFonts w:ascii="Times New Roman" w:cs="Times New Roman" w:eastAsia="Times New Roman" w:hAnsi="Times New Roman"/>
          <w:sz w:val="18"/>
          <w:szCs w:val="18"/>
          <w:color w:val="auto"/>
        </w:rPr>
        <w:t>Date:  April 1, 2025</w:t>
      </w:r>
      <w:r>
        <w:rPr>
          <w:sz w:val="20"/>
          <w:szCs w:val="20"/>
          <w:color w:val="auto"/>
        </w:rPr>
        <w:tab/>
      </w:r>
      <w:r>
        <w:rPr>
          <w:rFonts w:ascii="Times New Roman" w:cs="Times New Roman" w:eastAsia="Times New Roman" w:hAnsi="Times New Roman"/>
          <w:sz w:val="18"/>
          <w:szCs w:val="18"/>
          <w:color w:val="auto"/>
        </w:rPr>
        <w:t> /s/ Jill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3720465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4" w:lineRule="exact"/>
        <w:rPr>
          <w:sz w:val="20"/>
          <w:szCs w:val="20"/>
          <w:color w:val="auto"/>
        </w:rPr>
      </w:pPr>
    </w:p>
    <w:p>
      <w:pPr>
        <w:ind w:left="5864"/>
        <w:spacing w:after="0"/>
        <w:tabs>
          <w:tab w:leader="none" w:pos="6484"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Jill Sanchez</w:t>
      </w:r>
    </w:p>
    <w:p>
      <w:pPr>
        <w:spacing w:after="0" w:line="9" w:lineRule="exact"/>
        <w:rPr>
          <w:sz w:val="20"/>
          <w:szCs w:val="20"/>
          <w:color w:val="auto"/>
        </w:rPr>
      </w:pPr>
    </w:p>
    <w:p>
      <w:pPr>
        <w:ind w:left="5864"/>
        <w:spacing w:after="0"/>
        <w:tabs>
          <w:tab w:leader="none" w:pos="6484"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4" w:right="100"/>
        <w:spacing w:after="0" w:line="289" w:lineRule="auto"/>
        <w:rPr>
          <w:sz w:val="20"/>
          <w:szCs w:val="20"/>
          <w:color w:val="auto"/>
        </w:rPr>
      </w:pPr>
      <w:r>
        <w:rPr>
          <w:rFonts w:ascii="Times New Roman" w:cs="Times New Roman" w:eastAsia="Times New Roman" w:hAnsi="Times New Roman"/>
          <w:sz w:val="17"/>
          <w:szCs w:val="17"/>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003415"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334645"/>
                    </a:xfrm>
                    <a:prstGeom prst="rect">
                      <a:avLst/>
                    </a:prstGeom>
                    <a:noFill/>
                  </pic:spPr>
                </pic:pic>
              </a:graphicData>
            </a:graphic>
          </wp:anchor>
        </w:drawing>
      </w:r>
    </w:p>
    <w:p>
      <w:pPr>
        <w:spacing w:after="0" w:line="22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237490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
      <w:numFmt w:val="bullet"/>
      <w:start w:val="1"/>
    </w:lvl>
    <w:lvl w:ilvl="2">
      <w:lvlJc w:val="left"/>
      <w:lvlText w:val="(%3)"/>
      <w:numFmt w:val="lowerLetter"/>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2025-04-01T06:06:38Z</dcterms:created>
  <dcterms:modified xsi:type="dcterms:W3CDTF">2025-04-01T06:06:38Z</dcterms:modified>
</cp:coreProperties>
</file>