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25,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333-226964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333-279307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0"/>
        <w:spacing w:after="0" w:line="277" w:lineRule="auto"/>
        <w:rPr>
          <w:sz w:val="20"/>
          <w:szCs w:val="20"/>
          <w:color w:val="auto"/>
        </w:rPr>
      </w:pPr>
      <w:r>
        <w:rPr>
          <w:rFonts w:ascii="Times New Roman" w:cs="Times New Roman" w:eastAsia="Times New Roman" w:hAnsi="Times New Roman"/>
          <w:sz w:val="32"/>
          <w:szCs w:val="32"/>
          <w:b w:val="1"/>
          <w:bCs w:val="1"/>
          <w:color w:val="auto"/>
        </w:rPr>
        <w:t>POST-EFFECTIVE AMENDMENT NO. 1 TO FORM S-8 REGISTRATION STATEMENT NO. 333-226964</w:t>
      </w:r>
    </w:p>
    <w:p>
      <w:pPr>
        <w:spacing w:after="0" w:line="96" w:lineRule="exact"/>
        <w:rPr>
          <w:sz w:val="24"/>
          <w:szCs w:val="24"/>
          <w:color w:val="auto"/>
        </w:rPr>
      </w:pPr>
    </w:p>
    <w:p>
      <w:pPr>
        <w:jc w:val="center"/>
        <w:ind w:right="20"/>
        <w:spacing w:after="0" w:line="251" w:lineRule="auto"/>
        <w:rPr>
          <w:sz w:val="20"/>
          <w:szCs w:val="20"/>
          <w:color w:val="auto"/>
        </w:rPr>
      </w:pPr>
      <w:r>
        <w:rPr>
          <w:rFonts w:ascii="Times New Roman" w:cs="Times New Roman" w:eastAsia="Times New Roman" w:hAnsi="Times New Roman"/>
          <w:sz w:val="32"/>
          <w:szCs w:val="32"/>
          <w:b w:val="1"/>
          <w:bCs w:val="1"/>
          <w:color w:val="auto"/>
        </w:rPr>
        <w:t>POST-EFFECTIVE AMENDMENT NO. 1 TO FORM S-8 REGISTRATION STATEMENT NO. 333-279307</w:t>
      </w:r>
    </w:p>
    <w:p>
      <w:pPr>
        <w:jc w:val="center"/>
        <w:spacing w:after="0" w:line="233"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Vaccinex,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540" w:type="dxa"/>
        <w:tblCellMar>
          <w:top w:w="0" w:type="dxa"/>
          <w:left w:w="0" w:type="dxa"/>
          <w:bottom w:w="0" w:type="dxa"/>
          <w:right w:w="0" w:type="dxa"/>
        </w:tblCellMar>
      </w:tblPr>
      <w:tr>
        <w:trPr>
          <w:trHeight w:val="214"/>
        </w:trPr>
        <w:tc>
          <w:tcPr>
            <w:tcW w:w="6040" w:type="dxa"/>
            <w:vAlign w:val="bottom"/>
            <w:gridSpan w:val="3"/>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32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16-1603202</w:t>
            </w:r>
          </w:p>
        </w:tc>
      </w:tr>
      <w:tr>
        <w:trPr>
          <w:trHeight w:val="148"/>
        </w:trPr>
        <w:tc>
          <w:tcPr>
            <w:tcW w:w="6040" w:type="dxa"/>
            <w:vAlign w:val="bottom"/>
            <w:gridSpan w:val="3"/>
          </w:tcPr>
          <w:p>
            <w:pPr>
              <w:jc w:val="center"/>
              <w:ind w:right="356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320" w:type="dxa"/>
            <w:vAlign w:val="bottom"/>
          </w:tcPr>
          <w:p>
            <w:pPr>
              <w:jc w:val="center"/>
              <w:ind w:left="1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040" w:type="dxa"/>
            <w:vAlign w:val="bottom"/>
            <w:gridSpan w:val="3"/>
          </w:tcPr>
          <w:p>
            <w:pPr>
              <w:jc w:val="center"/>
              <w:ind w:right="35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320" w:type="dxa"/>
            <w:vAlign w:val="bottom"/>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6040" w:type="dxa"/>
            <w:vAlign w:val="bottom"/>
            <w:gridSpan w:val="3"/>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w w:val="99"/>
              </w:rPr>
              <w:t>1895 Mount Hope Avenue</w:t>
            </w:r>
          </w:p>
        </w:tc>
        <w:tc>
          <w:tcPr>
            <w:tcW w:w="1320" w:type="dxa"/>
            <w:vAlign w:val="bottom"/>
          </w:tcPr>
          <w:p>
            <w:pPr>
              <w:spacing w:after="0"/>
              <w:rPr>
                <w:sz w:val="24"/>
                <w:szCs w:val="24"/>
                <w:color w:val="auto"/>
              </w:rPr>
            </w:pPr>
          </w:p>
        </w:tc>
      </w:tr>
      <w:tr>
        <w:trPr>
          <w:trHeight w:val="227"/>
        </w:trPr>
        <w:tc>
          <w:tcPr>
            <w:tcW w:w="6040" w:type="dxa"/>
            <w:vAlign w:val="bottom"/>
            <w:gridSpan w:val="3"/>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w w:val="97"/>
              </w:rPr>
              <w:t>Rochester, New York</w:t>
            </w:r>
          </w:p>
        </w:tc>
        <w:tc>
          <w:tcPr>
            <w:tcW w:w="132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14620</w:t>
            </w:r>
          </w:p>
        </w:tc>
      </w:tr>
      <w:tr>
        <w:trPr>
          <w:trHeight w:val="190"/>
        </w:trPr>
        <w:tc>
          <w:tcPr>
            <w:tcW w:w="6040" w:type="dxa"/>
            <w:vAlign w:val="bottom"/>
            <w:gridSpan w:val="3"/>
          </w:tcPr>
          <w:p>
            <w:pPr>
              <w:jc w:val="center"/>
              <w:ind w:right="35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320" w:type="dxa"/>
            <w:vAlign w:val="bottom"/>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48"/>
        </w:trPr>
        <w:tc>
          <w:tcPr>
            <w:tcW w:w="280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03"/>
        </w:trPr>
        <w:tc>
          <w:tcPr>
            <w:tcW w:w="6040" w:type="dxa"/>
            <w:vAlign w:val="bottom"/>
            <w:gridSpan w:val="3"/>
          </w:tcPr>
          <w:p>
            <w:pPr>
              <w:jc w:val="center"/>
              <w:ind w:left="1796"/>
              <w:spacing w:after="0"/>
              <w:rPr>
                <w:sz w:val="20"/>
                <w:szCs w:val="20"/>
                <w:color w:val="auto"/>
              </w:rPr>
            </w:pPr>
            <w:r>
              <w:rPr>
                <w:rFonts w:ascii="Times New Roman" w:cs="Times New Roman" w:eastAsia="Times New Roman" w:hAnsi="Times New Roman"/>
                <w:sz w:val="18"/>
                <w:szCs w:val="18"/>
                <w:b w:val="1"/>
                <w:bCs w:val="1"/>
                <w:color w:val="auto"/>
                <w:w w:val="99"/>
              </w:rPr>
              <w:t>Vaccinex, Inc. 2001 Employee Equity Plan</w:t>
            </w:r>
          </w:p>
        </w:tc>
        <w:tc>
          <w:tcPr>
            <w:tcW w:w="1320" w:type="dxa"/>
            <w:vAlign w:val="bottom"/>
          </w:tcPr>
          <w:p>
            <w:pPr>
              <w:spacing w:after="0"/>
              <w:rPr>
                <w:sz w:val="24"/>
                <w:szCs w:val="24"/>
                <w:color w:val="auto"/>
              </w:rPr>
            </w:pPr>
          </w:p>
        </w:tc>
      </w:tr>
      <w:tr>
        <w:trPr>
          <w:trHeight w:val="216"/>
        </w:trPr>
        <w:tc>
          <w:tcPr>
            <w:tcW w:w="6040" w:type="dxa"/>
            <w:vAlign w:val="bottom"/>
            <w:gridSpan w:val="3"/>
          </w:tcPr>
          <w:p>
            <w:pPr>
              <w:jc w:val="center"/>
              <w:ind w:left="1816"/>
              <w:spacing w:after="0"/>
              <w:rPr>
                <w:sz w:val="20"/>
                <w:szCs w:val="20"/>
                <w:color w:val="auto"/>
              </w:rPr>
            </w:pPr>
            <w:r>
              <w:rPr>
                <w:rFonts w:ascii="Times New Roman" w:cs="Times New Roman" w:eastAsia="Times New Roman" w:hAnsi="Times New Roman"/>
                <w:sz w:val="18"/>
                <w:szCs w:val="18"/>
                <w:b w:val="1"/>
                <w:bCs w:val="1"/>
                <w:color w:val="auto"/>
                <w:w w:val="98"/>
              </w:rPr>
              <w:t>Vaccinex, Inc. 2011 Employee Equity Plan</w:t>
            </w:r>
          </w:p>
        </w:tc>
        <w:tc>
          <w:tcPr>
            <w:tcW w:w="1320" w:type="dxa"/>
            <w:vAlign w:val="bottom"/>
          </w:tcPr>
          <w:p>
            <w:pPr>
              <w:spacing w:after="0"/>
              <w:rPr>
                <w:sz w:val="18"/>
                <w:szCs w:val="18"/>
                <w:color w:val="auto"/>
              </w:rPr>
            </w:pPr>
          </w:p>
        </w:tc>
      </w:tr>
      <w:tr>
        <w:trPr>
          <w:trHeight w:val="214"/>
        </w:trPr>
        <w:tc>
          <w:tcPr>
            <w:tcW w:w="6040" w:type="dxa"/>
            <w:vAlign w:val="bottom"/>
            <w:gridSpan w:val="3"/>
          </w:tcPr>
          <w:p>
            <w:pPr>
              <w:jc w:val="center"/>
              <w:ind w:left="1816"/>
              <w:spacing w:after="0"/>
              <w:rPr>
                <w:sz w:val="20"/>
                <w:szCs w:val="20"/>
                <w:color w:val="auto"/>
              </w:rPr>
            </w:pPr>
            <w:r>
              <w:rPr>
                <w:rFonts w:ascii="Times New Roman" w:cs="Times New Roman" w:eastAsia="Times New Roman" w:hAnsi="Times New Roman"/>
                <w:sz w:val="18"/>
                <w:szCs w:val="18"/>
                <w:b w:val="1"/>
                <w:bCs w:val="1"/>
                <w:color w:val="auto"/>
                <w:w w:val="99"/>
              </w:rPr>
              <w:t>Vaccinex, Inc. 2018 Omnibus Incentive Plan</w:t>
            </w:r>
          </w:p>
        </w:tc>
        <w:tc>
          <w:tcPr>
            <w:tcW w:w="1320" w:type="dxa"/>
            <w:vAlign w:val="bottom"/>
          </w:tcPr>
          <w:p>
            <w:pPr>
              <w:spacing w:after="0"/>
              <w:rPr>
                <w:sz w:val="18"/>
                <w:szCs w:val="18"/>
                <w:color w:val="auto"/>
              </w:rPr>
            </w:pPr>
          </w:p>
        </w:tc>
      </w:tr>
      <w:tr>
        <w:trPr>
          <w:trHeight w:val="190"/>
        </w:trPr>
        <w:tc>
          <w:tcPr>
            <w:tcW w:w="2800" w:type="dxa"/>
            <w:vAlign w:val="bottom"/>
          </w:tcPr>
          <w:p>
            <w:pPr>
              <w:spacing w:after="0"/>
              <w:rPr>
                <w:sz w:val="16"/>
                <w:szCs w:val="16"/>
                <w:color w:val="auto"/>
              </w:rPr>
            </w:pPr>
          </w:p>
        </w:tc>
        <w:tc>
          <w:tcPr>
            <w:tcW w:w="324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(Full title of the plans)</w:t>
            </w:r>
          </w:p>
        </w:tc>
        <w:tc>
          <w:tcPr>
            <w:tcW w:w="1320" w:type="dxa"/>
            <w:vAlign w:val="bottom"/>
          </w:tcPr>
          <w:p>
            <w:pPr>
              <w:spacing w:after="0"/>
              <w:rPr>
                <w:sz w:val="16"/>
                <w:szCs w:val="16"/>
                <w:color w:val="auto"/>
              </w:rPr>
            </w:pPr>
          </w:p>
        </w:tc>
      </w:tr>
      <w:tr>
        <w:trPr>
          <w:trHeight w:val="334"/>
        </w:trPr>
        <w:tc>
          <w:tcPr>
            <w:tcW w:w="280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03"/>
        </w:trPr>
        <w:tc>
          <w:tcPr>
            <w:tcW w:w="2800" w:type="dxa"/>
            <w:vAlign w:val="bottom"/>
          </w:tcPr>
          <w:p>
            <w:pPr>
              <w:spacing w:after="0"/>
              <w:rPr>
                <w:sz w:val="24"/>
                <w:szCs w:val="24"/>
                <w:color w:val="auto"/>
              </w:rPr>
            </w:pPr>
          </w:p>
        </w:tc>
        <w:tc>
          <w:tcPr>
            <w:tcW w:w="324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Maurice Zauderer</w:t>
            </w:r>
          </w:p>
        </w:tc>
        <w:tc>
          <w:tcPr>
            <w:tcW w:w="1320" w:type="dxa"/>
            <w:vAlign w:val="bottom"/>
          </w:tcPr>
          <w:p>
            <w:pPr>
              <w:spacing w:after="0"/>
              <w:rPr>
                <w:sz w:val="24"/>
                <w:szCs w:val="24"/>
                <w:color w:val="auto"/>
              </w:rPr>
            </w:pPr>
          </w:p>
        </w:tc>
      </w:tr>
      <w:tr>
        <w:trPr>
          <w:trHeight w:val="216"/>
        </w:trPr>
        <w:tc>
          <w:tcPr>
            <w:tcW w:w="6040" w:type="dxa"/>
            <w:vAlign w:val="bottom"/>
            <w:gridSpan w:val="3"/>
          </w:tcPr>
          <w:p>
            <w:pPr>
              <w:jc w:val="center"/>
              <w:ind w:left="1816"/>
              <w:spacing w:after="0"/>
              <w:rPr>
                <w:sz w:val="20"/>
                <w:szCs w:val="20"/>
                <w:color w:val="auto"/>
              </w:rPr>
            </w:pPr>
            <w:r>
              <w:rPr>
                <w:rFonts w:ascii="Times New Roman" w:cs="Times New Roman" w:eastAsia="Times New Roman" w:hAnsi="Times New Roman"/>
                <w:sz w:val="18"/>
                <w:szCs w:val="18"/>
                <w:b w:val="1"/>
                <w:bCs w:val="1"/>
                <w:color w:val="auto"/>
              </w:rPr>
              <w:t>President &amp; Chief Executive Officer</w:t>
            </w:r>
          </w:p>
        </w:tc>
        <w:tc>
          <w:tcPr>
            <w:tcW w:w="1320" w:type="dxa"/>
            <w:vAlign w:val="bottom"/>
          </w:tcPr>
          <w:p>
            <w:pPr>
              <w:spacing w:after="0"/>
              <w:rPr>
                <w:sz w:val="18"/>
                <w:szCs w:val="18"/>
                <w:color w:val="auto"/>
              </w:rPr>
            </w:pPr>
          </w:p>
        </w:tc>
      </w:tr>
      <w:tr>
        <w:trPr>
          <w:trHeight w:val="216"/>
        </w:trPr>
        <w:tc>
          <w:tcPr>
            <w:tcW w:w="2800" w:type="dxa"/>
            <w:vAlign w:val="bottom"/>
          </w:tcPr>
          <w:p>
            <w:pPr>
              <w:spacing w:after="0"/>
              <w:rPr>
                <w:sz w:val="18"/>
                <w:szCs w:val="18"/>
                <w:color w:val="auto"/>
              </w:rPr>
            </w:pPr>
          </w:p>
        </w:tc>
        <w:tc>
          <w:tcPr>
            <w:tcW w:w="324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7"/>
              </w:rPr>
              <w:t>Vaccinex, Inc.</w:t>
            </w:r>
          </w:p>
        </w:tc>
        <w:tc>
          <w:tcPr>
            <w:tcW w:w="1320" w:type="dxa"/>
            <w:vAlign w:val="bottom"/>
          </w:tcPr>
          <w:p>
            <w:pPr>
              <w:spacing w:after="0"/>
              <w:rPr>
                <w:sz w:val="18"/>
                <w:szCs w:val="18"/>
                <w:color w:val="auto"/>
              </w:rPr>
            </w:pPr>
          </w:p>
        </w:tc>
      </w:tr>
      <w:tr>
        <w:trPr>
          <w:trHeight w:val="216"/>
        </w:trPr>
        <w:tc>
          <w:tcPr>
            <w:tcW w:w="2800" w:type="dxa"/>
            <w:vAlign w:val="bottom"/>
          </w:tcPr>
          <w:p>
            <w:pPr>
              <w:spacing w:after="0"/>
              <w:rPr>
                <w:sz w:val="18"/>
                <w:szCs w:val="18"/>
                <w:color w:val="auto"/>
              </w:rPr>
            </w:pPr>
          </w:p>
        </w:tc>
        <w:tc>
          <w:tcPr>
            <w:tcW w:w="324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1895 Mount Hope Avenue</w:t>
            </w:r>
          </w:p>
        </w:tc>
        <w:tc>
          <w:tcPr>
            <w:tcW w:w="1320" w:type="dxa"/>
            <w:vAlign w:val="bottom"/>
          </w:tcPr>
          <w:p>
            <w:pPr>
              <w:spacing w:after="0"/>
              <w:rPr>
                <w:sz w:val="18"/>
                <w:szCs w:val="18"/>
                <w:color w:val="auto"/>
              </w:rPr>
            </w:pPr>
          </w:p>
        </w:tc>
      </w:tr>
      <w:tr>
        <w:trPr>
          <w:trHeight w:val="214"/>
        </w:trPr>
        <w:tc>
          <w:tcPr>
            <w:tcW w:w="2800" w:type="dxa"/>
            <w:vAlign w:val="bottom"/>
          </w:tcPr>
          <w:p>
            <w:pPr>
              <w:spacing w:after="0"/>
              <w:rPr>
                <w:sz w:val="18"/>
                <w:szCs w:val="18"/>
                <w:color w:val="auto"/>
              </w:rPr>
            </w:pPr>
          </w:p>
        </w:tc>
        <w:tc>
          <w:tcPr>
            <w:tcW w:w="324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8"/>
              </w:rPr>
              <w:t>Rochester, New York 14620</w:t>
            </w:r>
          </w:p>
        </w:tc>
        <w:tc>
          <w:tcPr>
            <w:tcW w:w="1320" w:type="dxa"/>
            <w:vAlign w:val="bottom"/>
          </w:tcPr>
          <w:p>
            <w:pPr>
              <w:spacing w:after="0"/>
              <w:rPr>
                <w:sz w:val="18"/>
                <w:szCs w:val="18"/>
                <w:color w:val="auto"/>
              </w:rPr>
            </w:pPr>
          </w:p>
        </w:tc>
      </w:tr>
      <w:tr>
        <w:trPr>
          <w:trHeight w:val="190"/>
        </w:trPr>
        <w:tc>
          <w:tcPr>
            <w:tcW w:w="6040" w:type="dxa"/>
            <w:vAlign w:val="bottom"/>
            <w:gridSpan w:val="3"/>
          </w:tcPr>
          <w:p>
            <w:pPr>
              <w:jc w:val="center"/>
              <w:ind w:left="1796"/>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tc>
        <w:tc>
          <w:tcPr>
            <w:tcW w:w="1320" w:type="dxa"/>
            <w:vAlign w:val="bottom"/>
          </w:tcPr>
          <w:p>
            <w:pPr>
              <w:spacing w:after="0"/>
              <w:rPr>
                <w:sz w:val="16"/>
                <w:szCs w:val="16"/>
                <w:color w:val="auto"/>
              </w:rPr>
            </w:pPr>
          </w:p>
        </w:tc>
      </w:tr>
      <w:tr>
        <w:trPr>
          <w:trHeight w:val="390"/>
        </w:trPr>
        <w:tc>
          <w:tcPr>
            <w:tcW w:w="5120" w:type="dxa"/>
            <w:vAlign w:val="bottom"/>
            <w:gridSpan w:val="2"/>
          </w:tcPr>
          <w:p>
            <w:pPr>
              <w:jc w:val="center"/>
              <w:ind w:left="2716"/>
              <w:spacing w:after="0"/>
              <w:rPr>
                <w:sz w:val="20"/>
                <w:szCs w:val="20"/>
                <w:color w:val="auto"/>
              </w:rPr>
            </w:pPr>
            <w:r>
              <w:rPr>
                <w:rFonts w:ascii="Times New Roman" w:cs="Times New Roman" w:eastAsia="Times New Roman" w:hAnsi="Times New Roman"/>
                <w:sz w:val="18"/>
                <w:szCs w:val="18"/>
                <w:b w:val="1"/>
                <w:bCs w:val="1"/>
                <w:color w:val="auto"/>
                <w:w w:val="99"/>
              </w:rPr>
              <w:t>(585) 271-2700</w:t>
            </w:r>
          </w:p>
        </w:tc>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90"/>
        </w:trPr>
        <w:tc>
          <w:tcPr>
            <w:tcW w:w="6040" w:type="dxa"/>
            <w:vAlign w:val="bottom"/>
            <w:gridSpan w:val="3"/>
          </w:tcPr>
          <w:p>
            <w:pPr>
              <w:jc w:val="center"/>
              <w:ind w:left="1816"/>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tc>
        <w:tc>
          <w:tcPr>
            <w:tcW w:w="1320" w:type="dxa"/>
            <w:vAlign w:val="bottom"/>
          </w:tcPr>
          <w:p>
            <w:pPr>
              <w:spacing w:after="0"/>
              <w:rPr>
                <w:sz w:val="16"/>
                <w:szCs w:val="16"/>
                <w:color w:val="auto"/>
              </w:rPr>
            </w:pPr>
          </w:p>
        </w:tc>
      </w:tr>
      <w:tr>
        <w:trPr>
          <w:trHeight w:val="334"/>
        </w:trPr>
        <w:tc>
          <w:tcPr>
            <w:tcW w:w="280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25"/>
        </w:trPr>
        <w:tc>
          <w:tcPr>
            <w:tcW w:w="2800" w:type="dxa"/>
            <w:vAlign w:val="bottom"/>
          </w:tcPr>
          <w:p>
            <w:pPr>
              <w:spacing w:after="0"/>
              <w:rPr>
                <w:sz w:val="24"/>
                <w:szCs w:val="24"/>
                <w:color w:val="auto"/>
              </w:rPr>
            </w:pPr>
          </w:p>
        </w:tc>
        <w:tc>
          <w:tcPr>
            <w:tcW w:w="324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i w:val="1"/>
                <w:iCs w:val="1"/>
                <w:color w:val="auto"/>
                <w:w w:val="99"/>
              </w:rPr>
              <w:t>Copies to:</w:t>
            </w:r>
          </w:p>
        </w:tc>
        <w:tc>
          <w:tcPr>
            <w:tcW w:w="1320" w:type="dxa"/>
            <w:vAlign w:val="bottom"/>
          </w:tcPr>
          <w:p>
            <w:pPr>
              <w:spacing w:after="0"/>
              <w:rPr>
                <w:sz w:val="24"/>
                <w:szCs w:val="24"/>
                <w:color w:val="auto"/>
              </w:rPr>
            </w:pPr>
          </w:p>
        </w:tc>
      </w:tr>
      <w:tr>
        <w:trPr>
          <w:trHeight w:val="302"/>
        </w:trPr>
        <w:tc>
          <w:tcPr>
            <w:tcW w:w="2800" w:type="dxa"/>
            <w:vAlign w:val="bottom"/>
          </w:tcPr>
          <w:p>
            <w:pPr>
              <w:spacing w:after="0"/>
              <w:rPr>
                <w:sz w:val="24"/>
                <w:szCs w:val="24"/>
                <w:color w:val="auto"/>
              </w:rPr>
            </w:pPr>
          </w:p>
        </w:tc>
        <w:tc>
          <w:tcPr>
            <w:tcW w:w="324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William I. Intner</w:t>
            </w:r>
          </w:p>
        </w:tc>
        <w:tc>
          <w:tcPr>
            <w:tcW w:w="1320" w:type="dxa"/>
            <w:vAlign w:val="bottom"/>
          </w:tcPr>
          <w:p>
            <w:pPr>
              <w:spacing w:after="0"/>
              <w:rPr>
                <w:sz w:val="24"/>
                <w:szCs w:val="24"/>
                <w:color w:val="auto"/>
              </w:rPr>
            </w:pPr>
          </w:p>
        </w:tc>
      </w:tr>
      <w:tr>
        <w:trPr>
          <w:trHeight w:val="216"/>
        </w:trPr>
        <w:tc>
          <w:tcPr>
            <w:tcW w:w="2800" w:type="dxa"/>
            <w:vAlign w:val="bottom"/>
          </w:tcPr>
          <w:p>
            <w:pPr>
              <w:spacing w:after="0"/>
              <w:rPr>
                <w:sz w:val="18"/>
                <w:szCs w:val="18"/>
                <w:color w:val="auto"/>
              </w:rPr>
            </w:pPr>
          </w:p>
        </w:tc>
        <w:tc>
          <w:tcPr>
            <w:tcW w:w="324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J. Nicholas Hoover</w:t>
            </w:r>
          </w:p>
        </w:tc>
        <w:tc>
          <w:tcPr>
            <w:tcW w:w="1320" w:type="dxa"/>
            <w:vAlign w:val="bottom"/>
          </w:tcPr>
          <w:p>
            <w:pPr>
              <w:spacing w:after="0"/>
              <w:rPr>
                <w:sz w:val="18"/>
                <w:szCs w:val="18"/>
                <w:color w:val="auto"/>
              </w:rPr>
            </w:pPr>
          </w:p>
        </w:tc>
      </w:tr>
      <w:tr>
        <w:trPr>
          <w:trHeight w:val="216"/>
        </w:trPr>
        <w:tc>
          <w:tcPr>
            <w:tcW w:w="2800" w:type="dxa"/>
            <w:vAlign w:val="bottom"/>
          </w:tcPr>
          <w:p>
            <w:pPr>
              <w:spacing w:after="0"/>
              <w:rPr>
                <w:sz w:val="18"/>
                <w:szCs w:val="18"/>
                <w:color w:val="auto"/>
              </w:rPr>
            </w:pPr>
          </w:p>
        </w:tc>
        <w:tc>
          <w:tcPr>
            <w:tcW w:w="324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Hogan Lovells US LLP</w:t>
            </w:r>
          </w:p>
        </w:tc>
        <w:tc>
          <w:tcPr>
            <w:tcW w:w="1320" w:type="dxa"/>
            <w:vAlign w:val="bottom"/>
          </w:tcPr>
          <w:p>
            <w:pPr>
              <w:spacing w:after="0"/>
              <w:rPr>
                <w:sz w:val="18"/>
                <w:szCs w:val="18"/>
                <w:color w:val="auto"/>
              </w:rPr>
            </w:pPr>
          </w:p>
        </w:tc>
      </w:tr>
      <w:tr>
        <w:trPr>
          <w:trHeight w:val="216"/>
        </w:trPr>
        <w:tc>
          <w:tcPr>
            <w:tcW w:w="6040" w:type="dxa"/>
            <w:vAlign w:val="bottom"/>
            <w:gridSpan w:val="3"/>
          </w:tcPr>
          <w:p>
            <w:pPr>
              <w:jc w:val="center"/>
              <w:ind w:left="1816"/>
              <w:spacing w:after="0"/>
              <w:rPr>
                <w:sz w:val="20"/>
                <w:szCs w:val="20"/>
                <w:color w:val="auto"/>
              </w:rPr>
            </w:pPr>
            <w:r>
              <w:rPr>
                <w:rFonts w:ascii="Times New Roman" w:cs="Times New Roman" w:eastAsia="Times New Roman" w:hAnsi="Times New Roman"/>
                <w:sz w:val="18"/>
                <w:szCs w:val="18"/>
                <w:b w:val="1"/>
                <w:bCs w:val="1"/>
                <w:color w:val="auto"/>
                <w:w w:val="99"/>
              </w:rPr>
              <w:t>1001 International Drive, Suite 2000</w:t>
            </w:r>
          </w:p>
        </w:tc>
        <w:tc>
          <w:tcPr>
            <w:tcW w:w="1320" w:type="dxa"/>
            <w:vAlign w:val="bottom"/>
          </w:tcPr>
          <w:p>
            <w:pPr>
              <w:spacing w:after="0"/>
              <w:rPr>
                <w:sz w:val="18"/>
                <w:szCs w:val="18"/>
                <w:color w:val="auto"/>
              </w:rPr>
            </w:pPr>
          </w:p>
        </w:tc>
      </w:tr>
      <w:tr>
        <w:trPr>
          <w:trHeight w:val="216"/>
        </w:trPr>
        <w:tc>
          <w:tcPr>
            <w:tcW w:w="2800" w:type="dxa"/>
            <w:vAlign w:val="bottom"/>
          </w:tcPr>
          <w:p>
            <w:pPr>
              <w:spacing w:after="0"/>
              <w:rPr>
                <w:sz w:val="18"/>
                <w:szCs w:val="18"/>
                <w:color w:val="auto"/>
              </w:rPr>
            </w:pPr>
          </w:p>
        </w:tc>
        <w:tc>
          <w:tcPr>
            <w:tcW w:w="324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Baltimore, Maryland 21202</w:t>
            </w:r>
          </w:p>
        </w:tc>
        <w:tc>
          <w:tcPr>
            <w:tcW w:w="1320" w:type="dxa"/>
            <w:vAlign w:val="bottom"/>
          </w:tcPr>
          <w:p>
            <w:pPr>
              <w:spacing w:after="0"/>
              <w:rPr>
                <w:sz w:val="18"/>
                <w:szCs w:val="18"/>
                <w:color w:val="auto"/>
              </w:rPr>
            </w:pPr>
          </w:p>
        </w:tc>
      </w:tr>
      <w:tr>
        <w:trPr>
          <w:trHeight w:val="238"/>
        </w:trPr>
        <w:tc>
          <w:tcPr>
            <w:tcW w:w="5120" w:type="dxa"/>
            <w:vAlign w:val="bottom"/>
            <w:gridSpan w:val="2"/>
          </w:tcPr>
          <w:p>
            <w:pPr>
              <w:jc w:val="center"/>
              <w:ind w:left="2716"/>
              <w:spacing w:after="0"/>
              <w:rPr>
                <w:sz w:val="20"/>
                <w:szCs w:val="20"/>
                <w:color w:val="auto"/>
              </w:rPr>
            </w:pPr>
            <w:r>
              <w:rPr>
                <w:rFonts w:ascii="Times New Roman" w:cs="Times New Roman" w:eastAsia="Times New Roman" w:hAnsi="Times New Roman"/>
                <w:sz w:val="18"/>
                <w:szCs w:val="18"/>
                <w:b w:val="1"/>
                <w:bCs w:val="1"/>
                <w:color w:val="auto"/>
                <w:w w:val="99"/>
              </w:rPr>
              <w:t>(410) 659-2700</w:t>
            </w:r>
          </w:p>
        </w:tc>
        <w:tc>
          <w:tcPr>
            <w:tcW w:w="920" w:type="dxa"/>
            <w:vAlign w:val="bottom"/>
          </w:tcPr>
          <w:p>
            <w:pPr>
              <w:spacing w:after="0"/>
              <w:rPr>
                <w:sz w:val="20"/>
                <w:szCs w:val="20"/>
                <w:color w:val="auto"/>
              </w:rPr>
            </w:pPr>
          </w:p>
        </w:tc>
        <w:tc>
          <w:tcPr>
            <w:tcW w:w="13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231140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020"/>
          </w:cols>
          <w:pgMar w:left="440" w:top="225" w:right="439" w:bottom="0" w:gutter="0" w:footer="0" w:header="0"/>
        </w:sectPr>
      </w:pPr>
    </w:p>
    <w:bookmarkStart w:id="1" w:name="page2"/>
    <w:bookmarkEnd w:id="1"/>
    <w:p>
      <w:pPr>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165735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20"/>
          </w:cols>
          <w:pgMar w:left="440" w:top="121" w:right="739" w:bottom="1440" w:gutter="0" w:footer="0" w:header="0"/>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NOTE/DEREGISTRATION OF SECURITIES</w:t>
      </w:r>
    </w:p>
    <w:p>
      <w:pPr>
        <w:spacing w:after="0" w:line="229"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Vaccinex, Inc., a Delaware corporation (“Vaccinex” or the “Company”), is filing these post-effective amendments (the “Post-Effective Amendments”) to the following Registration Statements on Form S-8 (the “Registration Statements”), which have been previously filed with the Securities and Exchange Commission (the “SEC”), to deregister any and all shares of the Company’s common stock, par value $0.0001 per share (the “Common Stock”), registered but unsold or otherwise unissued under each such Registration Statement as of the date hereof:</w:t>
      </w:r>
    </w:p>
    <w:p>
      <w:pPr>
        <w:spacing w:after="0" w:line="85" w:lineRule="exact"/>
        <w:rPr>
          <w:sz w:val="20"/>
          <w:szCs w:val="20"/>
          <w:color w:val="auto"/>
        </w:rPr>
      </w:pPr>
    </w:p>
    <w:p>
      <w:pPr>
        <w:ind w:left="960" w:right="240" w:hanging="532"/>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17">
        <w:r>
          <w:rPr>
            <w:rFonts w:ascii="Times New Roman" w:cs="Times New Roman" w:eastAsia="Times New Roman" w:hAnsi="Times New Roman"/>
            <w:sz w:val="18"/>
            <w:szCs w:val="18"/>
            <w:u w:val="single" w:color="auto"/>
            <w:color w:val="0000EE"/>
          </w:rPr>
          <w:t>333-226964</w:t>
        </w:r>
      </w:hyperlink>
      <w:r>
        <w:rPr>
          <w:rFonts w:ascii="Times New Roman" w:cs="Times New Roman" w:eastAsia="Times New Roman" w:hAnsi="Times New Roman"/>
          <w:sz w:val="18"/>
          <w:szCs w:val="18"/>
          <w:color w:val="auto"/>
        </w:rPr>
        <w:t>, filed with the SEC on August 21, 2018, registering 1,923 shares of Common Stock originally issuable under the Vaccinex, Inc. 2001 Employee Equity Plan and the Vaccinex, Inc. 2011 Employee Equity Plan, and 2,024 shares of Common Stock issuable under the Vaccinex, Inc. 2018 Omnibus Incentive Plan (the “2018 Plan”).</w:t>
      </w:r>
    </w:p>
    <w:p>
      <w:pPr>
        <w:spacing w:after="0" w:line="81"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18">
        <w:r>
          <w:rPr>
            <w:rFonts w:ascii="Times New Roman" w:cs="Times New Roman" w:eastAsia="Times New Roman" w:hAnsi="Times New Roman"/>
            <w:sz w:val="18"/>
            <w:szCs w:val="18"/>
            <w:u w:val="single" w:color="auto"/>
            <w:color w:val="0000EE"/>
          </w:rPr>
          <w:t>333-279307</w:t>
        </w:r>
      </w:hyperlink>
      <w:r>
        <w:rPr>
          <w:rFonts w:ascii="Times New Roman" w:cs="Times New Roman" w:eastAsia="Times New Roman" w:hAnsi="Times New Roman"/>
          <w:sz w:val="18"/>
          <w:szCs w:val="18"/>
          <w:color w:val="auto"/>
        </w:rPr>
        <w:t>, filed with the SEC on May 10, 2024, registering 84,503 shares of Common Stock issuable under the 2018 Plan.</w:t>
      </w:r>
    </w:p>
    <w:p>
      <w:pPr>
        <w:spacing w:after="0" w:line="162" w:lineRule="exact"/>
        <w:rPr>
          <w:rFonts w:ascii="Times New Roman" w:cs="Times New Roman" w:eastAsia="Times New Roman" w:hAnsi="Times New Roman"/>
          <w:sz w:val="18"/>
          <w:szCs w:val="18"/>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The share numbers set forth in item 1 above reflect (i) a 1-for-15 reverse stock split of Common Stock that became effective on September 25, 2023 and (ii) a 1-for-14 reverse stock split of Common Stock that became effective on February 19, 2024.</w:t>
      </w:r>
    </w:p>
    <w:p>
      <w:pPr>
        <w:spacing w:after="0" w:line="162" w:lineRule="exact"/>
        <w:rPr>
          <w:rFonts w:ascii="Times New Roman" w:cs="Times New Roman" w:eastAsia="Times New Roman" w:hAnsi="Times New Roman"/>
          <w:sz w:val="18"/>
          <w:szCs w:val="18"/>
          <w:color w:val="auto"/>
        </w:rPr>
      </w:pPr>
    </w:p>
    <w:p>
      <w:pPr>
        <w:jc w:val="both"/>
        <w:ind w:right="140" w:firstLine="440"/>
        <w:spacing w:after="0" w:line="261" w:lineRule="auto"/>
        <w:rPr>
          <w:sz w:val="20"/>
          <w:szCs w:val="20"/>
          <w:color w:val="auto"/>
        </w:rPr>
      </w:pPr>
      <w:r>
        <w:rPr>
          <w:rFonts w:ascii="Times New Roman" w:cs="Times New Roman" w:eastAsia="Times New Roman" w:hAnsi="Times New Roman"/>
          <w:sz w:val="18"/>
          <w:szCs w:val="18"/>
          <w:color w:val="auto"/>
        </w:rPr>
        <w:t>This filing is made pursuant to an undertaking made by the Company in each Registration Statement to remove from registration by means of a post-effective amendment any securities that had been registered for issuance but remain unsold at the termination of each offering. The Company, by filing these Post-Effective Amendments, hereby terminates the effectiveness of the Registration Statements and removes from registration any and all securities registered but unsold or otherwise unissued under the Registration Statements as of the date hereof.</w:t>
      </w:r>
    </w:p>
    <w:p>
      <w:pPr>
        <w:sectPr>
          <w:pgSz w:w="11900" w:h="16838" w:orient="portrait"/>
          <w:cols w:equalWidth="0" w:num="1">
            <w:col w:w="10920"/>
          </w:cols>
          <w:pgMar w:left="440" w:top="266" w:right="53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these Post-Effective Amendments to be signed on its behalf by the undersigned, thereunto duly authorized, in the City of Rochester, State of New York, on March 25, 2025.</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Vaccinex,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Maurice Zauderer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Maurice Zauderer</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person is required to sign these Post-Effective Amendments in reliance upon Rule 478 under the Securities Act of 1933.</w:t>
      </w:r>
    </w:p>
    <w:sectPr>
      <w:pgSz w:w="11900" w:h="16838" w:orient="portrait"/>
      <w:cols w:equalWidth="0" w:num="1">
        <w:col w:w="10960"/>
      </w:cols>
      <w:pgMar w:left="440" w:top="26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7" Type="http://schemas.openxmlformats.org/officeDocument/2006/relationships/hyperlink" Target="http://www.sec.gov/Archives/edgar/data/1205922/000119312518254095/d609300ds8.htm" TargetMode="External"/><Relationship Id="rId18" Type="http://schemas.openxmlformats.org/officeDocument/2006/relationships/hyperlink" Target="http://www.sec.gov/Archives/edgar/data/1205922/000119312524135964/d820395d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2025-03-25T07:30:25Z</dcterms:created>
  <dcterms:modified xsi:type="dcterms:W3CDTF">2025-03-25T07:30:25Z</dcterms:modified>
</cp:coreProperties>
</file>